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E2D" w:rsidRPr="006555EA" w:rsidRDefault="006D4E2D" w:rsidP="006D4E2D">
      <w:pPr>
        <w:ind w:left="5664" w:firstLine="709"/>
        <w:jc w:val="right"/>
      </w:pPr>
      <w:r w:rsidRPr="006D4E2D">
        <w:rPr>
          <w:b/>
          <w:bCs/>
        </w:rPr>
        <w:t>ZAŁĄCZNIK NR 1</w:t>
      </w:r>
      <w:r w:rsidR="000D415A">
        <w:rPr>
          <w:b/>
          <w:bCs/>
        </w:rPr>
        <w:t>F</w:t>
      </w:r>
      <w:bookmarkStart w:id="0" w:name="_GoBack"/>
      <w:bookmarkEnd w:id="0"/>
    </w:p>
    <w:p w:rsidR="006D4E2D" w:rsidRPr="0034679F" w:rsidRDefault="006D4E2D" w:rsidP="006D4E2D">
      <w:pPr>
        <w:jc w:val="center"/>
        <w:rPr>
          <w:rFonts w:eastAsia="Times New Roman"/>
          <w:b/>
          <w:lang w:eastAsia="pl-PL"/>
        </w:rPr>
      </w:pPr>
    </w:p>
    <w:p w:rsidR="006D4E2D" w:rsidRPr="0034679F" w:rsidRDefault="006D4E2D" w:rsidP="006D4E2D">
      <w:pPr>
        <w:jc w:val="center"/>
        <w:rPr>
          <w:rFonts w:eastAsia="Calibri"/>
          <w:b/>
          <w:lang w:eastAsia="en-US"/>
        </w:rPr>
      </w:pPr>
      <w:r w:rsidRPr="0034679F">
        <w:rPr>
          <w:rFonts w:eastAsia="Times New Roman"/>
          <w:b/>
          <w:lang w:eastAsia="pl-PL"/>
        </w:rPr>
        <w:t xml:space="preserve">ZASADY ORGANIZACJI SZKOLNEGO ETAPU </w:t>
      </w:r>
      <w:r>
        <w:rPr>
          <w:rFonts w:eastAsia="Times New Roman"/>
          <w:b/>
          <w:lang w:eastAsia="pl-PL"/>
        </w:rPr>
        <w:t xml:space="preserve">WOJEWÓDZKIEGO </w:t>
      </w:r>
      <w:r w:rsidRPr="0034679F">
        <w:rPr>
          <w:rFonts w:eastAsia="Times New Roman"/>
          <w:b/>
          <w:lang w:eastAsia="pl-PL"/>
        </w:rPr>
        <w:t xml:space="preserve">KONKURSU PRZEDMIOTOWEGO Z </w:t>
      </w:r>
      <w:r>
        <w:rPr>
          <w:rFonts w:eastAsia="Times New Roman"/>
          <w:b/>
          <w:lang w:eastAsia="pl-PL"/>
        </w:rPr>
        <w:t>HISTORII</w:t>
      </w:r>
      <w:r w:rsidRPr="0034679F">
        <w:rPr>
          <w:rFonts w:eastAsia="Times New Roman"/>
          <w:b/>
          <w:lang w:eastAsia="pl-PL"/>
        </w:rPr>
        <w:t xml:space="preserve"> DLA UCZNIÓW SZKÓŁ PODSTAWOWYCH WOJEWÓDZTWA ŚLĄSKIEGO W ROKU SZKOLNYM </w:t>
      </w:r>
      <w:r w:rsidRPr="006D4E2D">
        <w:rPr>
          <w:rFonts w:eastAsia="Times New Roman"/>
          <w:b/>
          <w:lang w:eastAsia="pl-PL"/>
        </w:rPr>
        <w:t>2025/2026</w:t>
      </w:r>
    </w:p>
    <w:p w:rsidR="006D4E2D" w:rsidRPr="0034679F" w:rsidRDefault="006D4E2D" w:rsidP="006D4E2D">
      <w:pPr>
        <w:suppressAutoHyphens w:val="0"/>
        <w:jc w:val="both"/>
        <w:rPr>
          <w:b/>
        </w:rPr>
      </w:pPr>
    </w:p>
    <w:p w:rsidR="006D4E2D" w:rsidRPr="0034679F" w:rsidRDefault="006D4E2D" w:rsidP="006D4E2D">
      <w:pPr>
        <w:suppressAutoHyphens w:val="0"/>
        <w:jc w:val="both"/>
        <w:rPr>
          <w:b/>
          <w:u w:val="single"/>
        </w:rPr>
      </w:pPr>
    </w:p>
    <w:p w:rsidR="006D4E2D" w:rsidRPr="0034679F" w:rsidRDefault="006D4E2D" w:rsidP="006D4E2D">
      <w:pPr>
        <w:suppressAutoHyphens w:val="0"/>
        <w:jc w:val="both"/>
        <w:rPr>
          <w:b/>
        </w:rPr>
      </w:pPr>
      <w:r w:rsidRPr="0034679F">
        <w:t xml:space="preserve">Zakres wiedzy i umiejętności oraz proponowanej literatury opracowuje i przekazuje uczniom szkoły szkolna komisja konkursowa – </w:t>
      </w:r>
      <w:r w:rsidRPr="0034679F">
        <w:rPr>
          <w:b/>
        </w:rPr>
        <w:t>§ 6regulaminu konkursu.</w:t>
      </w:r>
    </w:p>
    <w:p w:rsidR="006D4E2D" w:rsidRPr="0034679F" w:rsidRDefault="006D4E2D" w:rsidP="006D4E2D">
      <w:pPr>
        <w:tabs>
          <w:tab w:val="left" w:pos="360"/>
        </w:tabs>
        <w:suppressAutoHyphens w:val="0"/>
        <w:jc w:val="center"/>
        <w:rPr>
          <w:b/>
          <w:u w:val="single"/>
        </w:rPr>
      </w:pPr>
    </w:p>
    <w:p w:rsidR="006D4E2D" w:rsidRPr="0034679F" w:rsidRDefault="006D4E2D" w:rsidP="006D4E2D">
      <w:pPr>
        <w:tabs>
          <w:tab w:val="left" w:pos="360"/>
        </w:tabs>
        <w:suppressAutoHyphens w:val="0"/>
        <w:rPr>
          <w:b/>
        </w:rPr>
      </w:pPr>
      <w:r w:rsidRPr="0034679F">
        <w:rPr>
          <w:b/>
        </w:rPr>
        <w:t>I. ZASADY ORGANIZACJI KONKURSU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  <w:r w:rsidRPr="0034679F">
        <w:t xml:space="preserve">1. Pierwszy stopień konkursu jest przeprowadzany w formie pisemnej przez szkolną komisję konkursową. 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  <w:r w:rsidRPr="0034679F">
        <w:t xml:space="preserve">2. Do pierwszego stopnia konkursu przystępują uczniowie na zasadzie dobrowolności. 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  <w:r w:rsidRPr="0034679F">
        <w:t xml:space="preserve">3. Czas pracy z arkuszem konkursowym wynosi </w:t>
      </w:r>
      <w:r w:rsidRPr="00B90771">
        <w:rPr>
          <w:b/>
        </w:rPr>
        <w:t>90 minut</w:t>
      </w:r>
      <w:r w:rsidRPr="00B90771">
        <w:t>.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  <w:r w:rsidRPr="0034679F">
        <w:t xml:space="preserve">4. Do sali, w której odbywają się eliminacje konkursowe, uczeń nie może wnosić żadnych urządzeń telekomunikacyjnych i informatycznych. </w:t>
      </w:r>
    </w:p>
    <w:p w:rsidR="006D4E2D" w:rsidRDefault="006D4E2D" w:rsidP="006D4E2D">
      <w:pPr>
        <w:tabs>
          <w:tab w:val="left" w:pos="360"/>
        </w:tabs>
        <w:suppressAutoHyphens w:val="0"/>
      </w:pPr>
      <w:r w:rsidRPr="0034679F">
        <w:t xml:space="preserve">5. Uczestnicy konkursu mogą wnieść </w:t>
      </w:r>
      <w:r>
        <w:t>do s</w:t>
      </w:r>
      <w:r w:rsidRPr="0034679F">
        <w:t>al</w:t>
      </w:r>
      <w:r>
        <w:t xml:space="preserve">i, </w:t>
      </w:r>
      <w:r w:rsidRPr="0034679F">
        <w:t>w której odbywa się konkurs</w:t>
      </w:r>
      <w:r>
        <w:t xml:space="preserve">, </w:t>
      </w:r>
      <w:r w:rsidRPr="0034679F">
        <w:t xml:space="preserve">małą butelkę wody. </w:t>
      </w:r>
      <w:r>
        <w:t>Butelkę należy postawić przy nodze stolika, zajmowanego przez uczestnika konkursu.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  <w:r>
        <w:t xml:space="preserve">6. Uczestnik konkursu jest zobowiązany okazać przed wejściem do Sali, w której odbywa się konkurs, ważną legitymację szkolną lub inny ważny dokument tożsamości ze zdjęciem. 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  <w:r w:rsidRPr="0034679F">
        <w:t xml:space="preserve">7. Uczestnicy konkursu </w:t>
      </w:r>
      <w:r>
        <w:t xml:space="preserve">zapisują </w:t>
      </w:r>
      <w:r w:rsidRPr="0034679F">
        <w:t>rozwiązania zadań wyłącznie długopisem z niebieskim tuszem nieścieralnym. Zabrania się używania długopisu z czarnym tuszem, ołówków i korektorów.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  <w:r w:rsidRPr="00B40A76">
        <w:t>8. Do drugiego stopnia kwalifikują się uczniowie, którzy na pierwszym stopniu uzyskają co najmniej 80% punktów możliwych do zdobycia, czyli 48 punktów. Maksymalna liczba punktów do zdobycia wynosi 60 pkt.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  <w:r w:rsidRPr="0034679F">
        <w:t>9. Ogłoszenie wyników stopnia pierwszego następuje w terminie do 3 dni, licząc od następnego dnia po przeprowadzeniu konkursu.</w:t>
      </w:r>
    </w:p>
    <w:p w:rsidR="006D4E2D" w:rsidRPr="0034679F" w:rsidRDefault="006D4E2D" w:rsidP="006D4E2D">
      <w:pPr>
        <w:tabs>
          <w:tab w:val="left" w:pos="360"/>
        </w:tabs>
        <w:suppressAutoHyphens w:val="0"/>
      </w:pPr>
    </w:p>
    <w:p w:rsidR="006D4E2D" w:rsidRPr="0034679F" w:rsidRDefault="006D4E2D" w:rsidP="006D4E2D">
      <w:pPr>
        <w:tabs>
          <w:tab w:val="left" w:pos="360"/>
        </w:tabs>
        <w:suppressAutoHyphens w:val="0"/>
      </w:pPr>
    </w:p>
    <w:p w:rsidR="006D4E2D" w:rsidRPr="0034679F" w:rsidRDefault="006D4E2D" w:rsidP="006D4E2D">
      <w:pPr>
        <w:tabs>
          <w:tab w:val="left" w:pos="360"/>
        </w:tabs>
        <w:suppressAutoHyphens w:val="0"/>
        <w:rPr>
          <w:b/>
        </w:rPr>
      </w:pPr>
      <w:r w:rsidRPr="0034679F">
        <w:rPr>
          <w:b/>
        </w:rPr>
        <w:t>II. ORGANIZACJA KONKURSU</w:t>
      </w:r>
    </w:p>
    <w:p w:rsidR="006D4E2D" w:rsidRPr="0034679F" w:rsidRDefault="006D4E2D" w:rsidP="006D4E2D">
      <w:pPr>
        <w:pStyle w:val="Default"/>
        <w:rPr>
          <w:bCs/>
          <w:color w:val="auto"/>
          <w:sz w:val="23"/>
          <w:szCs w:val="23"/>
        </w:rPr>
      </w:pPr>
      <w:r w:rsidRPr="0034679F">
        <w:rPr>
          <w:bCs/>
          <w:color w:val="auto"/>
          <w:sz w:val="23"/>
          <w:szCs w:val="23"/>
        </w:rPr>
        <w:t xml:space="preserve">Miejsce konkursu: Szkoła Podstawowa nr 2 w Lublińcu </w:t>
      </w:r>
    </w:p>
    <w:p w:rsidR="006D4E2D" w:rsidRPr="00B90771" w:rsidRDefault="006D4E2D" w:rsidP="006D4E2D">
      <w:pPr>
        <w:pStyle w:val="Default"/>
        <w:rPr>
          <w:b/>
          <w:bCs/>
          <w:color w:val="auto"/>
          <w:sz w:val="23"/>
          <w:szCs w:val="23"/>
        </w:rPr>
      </w:pPr>
      <w:r w:rsidRPr="00B90771">
        <w:rPr>
          <w:b/>
          <w:bCs/>
          <w:color w:val="auto"/>
          <w:sz w:val="23"/>
          <w:szCs w:val="23"/>
        </w:rPr>
        <w:t xml:space="preserve">Data: 07.10.2025r. </w:t>
      </w:r>
    </w:p>
    <w:p w:rsidR="006D4E2D" w:rsidRPr="00C45492" w:rsidRDefault="006D4E2D" w:rsidP="006D4E2D">
      <w:pPr>
        <w:pStyle w:val="Default"/>
        <w:rPr>
          <w:b/>
          <w:bCs/>
          <w:color w:val="auto"/>
          <w:sz w:val="23"/>
          <w:szCs w:val="23"/>
        </w:rPr>
      </w:pPr>
      <w:r w:rsidRPr="00B90771">
        <w:rPr>
          <w:b/>
          <w:bCs/>
          <w:color w:val="auto"/>
          <w:sz w:val="23"/>
          <w:szCs w:val="23"/>
        </w:rPr>
        <w:t>Czas trwania konkursu: 90 minut</w:t>
      </w:r>
    </w:p>
    <w:p w:rsidR="006D4E2D" w:rsidRPr="00C45492" w:rsidRDefault="006D4E2D" w:rsidP="006D4E2D">
      <w:pPr>
        <w:suppressAutoHyphens w:val="0"/>
        <w:jc w:val="both"/>
        <w:rPr>
          <w:b/>
          <w:u w:val="single"/>
        </w:rPr>
      </w:pPr>
    </w:p>
    <w:p w:rsidR="006D4E2D" w:rsidRPr="0034679F" w:rsidRDefault="006D4E2D" w:rsidP="006D4E2D">
      <w:pPr>
        <w:suppressAutoHyphens w:val="0"/>
        <w:jc w:val="both"/>
        <w:rPr>
          <w:b/>
          <w:u w:val="single"/>
        </w:rPr>
      </w:pPr>
      <w:r w:rsidRPr="00B90771">
        <w:rPr>
          <w:b/>
          <w:u w:val="single"/>
        </w:rPr>
        <w:t>I stopień szkolny</w:t>
      </w:r>
    </w:p>
    <w:p w:rsidR="006D4E2D" w:rsidRPr="0034679F" w:rsidRDefault="006D4E2D" w:rsidP="006D4E2D">
      <w:pPr>
        <w:suppressAutoHyphens w:val="0"/>
        <w:jc w:val="both"/>
        <w:rPr>
          <w:b/>
          <w:i/>
        </w:rPr>
      </w:pPr>
      <w:r w:rsidRPr="0034679F">
        <w:rPr>
          <w:b/>
        </w:rPr>
        <w:t>Zakres treści:</w:t>
      </w:r>
    </w:p>
    <w:p w:rsidR="00B90771" w:rsidRPr="0013080B" w:rsidRDefault="00B90771" w:rsidP="00B90771">
      <w:pPr>
        <w:pStyle w:val="Default"/>
      </w:pPr>
      <w:r w:rsidRPr="0013080B">
        <w:t xml:space="preserve">1. </w:t>
      </w:r>
      <w:r w:rsidRPr="00007A84">
        <w:rPr>
          <w:b/>
        </w:rPr>
        <w:t>Cywilizacje starożytne</w:t>
      </w:r>
      <w:r w:rsidRPr="0013080B">
        <w:t>: koczowniczy a osiadły tryb życia - skutki rewolucji neolitycznej;</w:t>
      </w:r>
      <w:r>
        <w:t xml:space="preserve"> </w:t>
      </w:r>
      <w:r w:rsidRPr="0013080B">
        <w:t>cywilizacje Starożytnego Wschodu (Mezopotamii, Egiptu i Izraela) oraz cywiliza</w:t>
      </w:r>
      <w:r>
        <w:t>cje starożytnej Grecji i Rzymu -</w:t>
      </w:r>
      <w:r w:rsidRPr="0013080B">
        <w:t xml:space="preserve"> lokalizacja w czasie i przestrzeni oraz charakterystyka struktur społecznych i systemu wierzeń; porównanie systemu sprawowania władzy oraz organizacja społeczeństwa w Egipcie, Atenach peryklejskich i Rzymie; najważniejsze osiągnięcia kultury materialnej i duchowej świata starożytnego w różnych</w:t>
      </w:r>
      <w:r>
        <w:t xml:space="preserve"> dziedzinach: filozofii, nauce, </w:t>
      </w:r>
      <w:r w:rsidRPr="0013080B">
        <w:t xml:space="preserve">architekturze, sztuce, literaturze; narodziny oraz rozprzestrzenianie się chrześcijaństwa. </w:t>
      </w:r>
    </w:p>
    <w:p w:rsidR="00B90771" w:rsidRPr="0013080B" w:rsidRDefault="00B90771" w:rsidP="00B90771">
      <w:pPr>
        <w:pStyle w:val="Default"/>
      </w:pPr>
      <w:r w:rsidRPr="0013080B">
        <w:t xml:space="preserve">2. </w:t>
      </w:r>
      <w:r w:rsidRPr="00007A84">
        <w:rPr>
          <w:b/>
        </w:rPr>
        <w:t>Świat islamski i Bizancjum</w:t>
      </w:r>
      <w:r>
        <w:t xml:space="preserve">: </w:t>
      </w:r>
      <w:r w:rsidRPr="0013080B">
        <w:t xml:space="preserve">zasięg podbojów arabskich i ich wpływ na Europę; zasięg i osiągnięcia cesarstwa bizantyjskiego. </w:t>
      </w:r>
    </w:p>
    <w:p w:rsidR="00B90771" w:rsidRPr="0013080B" w:rsidRDefault="00B90771" w:rsidP="00B90771">
      <w:pPr>
        <w:pStyle w:val="Default"/>
      </w:pPr>
      <w:r w:rsidRPr="0013080B">
        <w:t xml:space="preserve">3. </w:t>
      </w:r>
      <w:r w:rsidRPr="00007A84">
        <w:rPr>
          <w:b/>
        </w:rPr>
        <w:t>Władza, społeczeństwo i kultura średniowiecznej Europy</w:t>
      </w:r>
      <w:r>
        <w:t xml:space="preserve">: </w:t>
      </w:r>
      <w:r w:rsidRPr="0013080B">
        <w:t>państwo Franków; rozłam w Kościele w XI wieku oraz relacje pomiędzy władzą cesarską a papieską; system lenny i podziały społeczne w średniowieczu; życie średniowiecznego miasta i wsi;</w:t>
      </w:r>
      <w:r>
        <w:t xml:space="preserve"> </w:t>
      </w:r>
      <w:r w:rsidRPr="0013080B">
        <w:t>kultura rycerska;</w:t>
      </w:r>
      <w:r>
        <w:t xml:space="preserve"> </w:t>
      </w:r>
      <w:r w:rsidRPr="0013080B">
        <w:lastRenderedPageBreak/>
        <w:t>styl romański i styl gotycki;</w:t>
      </w:r>
      <w:r>
        <w:t xml:space="preserve"> </w:t>
      </w:r>
      <w:r w:rsidRPr="0013080B">
        <w:t xml:space="preserve">rola Kościoła w dziedzinie nauki, architektury, sztuki i życia codziennego. </w:t>
      </w:r>
    </w:p>
    <w:p w:rsidR="00B90771" w:rsidRPr="0013080B" w:rsidRDefault="00B90771" w:rsidP="00B90771">
      <w:pPr>
        <w:pStyle w:val="Default"/>
      </w:pPr>
      <w:r w:rsidRPr="0013080B">
        <w:t xml:space="preserve">4. </w:t>
      </w:r>
      <w:r w:rsidRPr="00007A84">
        <w:rPr>
          <w:b/>
        </w:rPr>
        <w:t>Polska w okresie wczesnopiastowskim</w:t>
      </w:r>
      <w:r>
        <w:t xml:space="preserve">: </w:t>
      </w:r>
      <w:r w:rsidRPr="0013080B">
        <w:t xml:space="preserve">państwo pierwszych Piastów; odbudowa i rozwój państwa Piastów za rządów Kazimierza Odnowiciela i Bolesława Śmiałego; dokonania Bolesława Krzywoustego; </w:t>
      </w:r>
    </w:p>
    <w:p w:rsidR="00B90771" w:rsidRPr="0013080B" w:rsidRDefault="00B90771" w:rsidP="00B90771">
      <w:pPr>
        <w:pStyle w:val="Default"/>
      </w:pPr>
      <w:r w:rsidRPr="0013080B">
        <w:t xml:space="preserve">5. </w:t>
      </w:r>
      <w:r w:rsidRPr="00007A84">
        <w:rPr>
          <w:b/>
        </w:rPr>
        <w:t>Polska w okresie rozbicia dzielnicowego</w:t>
      </w:r>
      <w:r>
        <w:t xml:space="preserve">: </w:t>
      </w:r>
      <w:r w:rsidRPr="0013080B">
        <w:t>przyczyny oraz skutki rozbicia dzielnicowego;</w:t>
      </w:r>
      <w:r>
        <w:t xml:space="preserve"> s</w:t>
      </w:r>
      <w:r w:rsidRPr="0013080B">
        <w:t xml:space="preserve">ytuacja międzynarodowa ziem polskich w </w:t>
      </w:r>
      <w:r>
        <w:t xml:space="preserve">okresie rozbicia dzielnicowego, </w:t>
      </w:r>
      <w:r w:rsidRPr="0013080B">
        <w:t xml:space="preserve">proces zjednoczenia państwa polskiego na przełomie XIII i XIV wieku. </w:t>
      </w:r>
    </w:p>
    <w:p w:rsidR="00B90771" w:rsidRPr="0013080B" w:rsidRDefault="00B90771" w:rsidP="00B90771">
      <w:pPr>
        <w:pStyle w:val="Default"/>
      </w:pPr>
      <w:r w:rsidRPr="0013080B">
        <w:t xml:space="preserve">6. </w:t>
      </w:r>
      <w:r w:rsidRPr="00007A84">
        <w:rPr>
          <w:b/>
        </w:rPr>
        <w:t>Polska w XIV – XV wieku</w:t>
      </w:r>
      <w:r>
        <w:t>:</w:t>
      </w:r>
      <w:r w:rsidRPr="0013080B">
        <w:t xml:space="preserve"> rozwój terytorialny państwa polskiego w XIV i XV wieku;</w:t>
      </w:r>
      <w:r>
        <w:t xml:space="preserve"> </w:t>
      </w:r>
      <w:r w:rsidRPr="0013080B">
        <w:t xml:space="preserve">dokonania Kazimierza Wielkiego w dziedzinie polityki wewnętrznej oraz w polityce zagranicznej; unia Polski z Litwą; związki Polski z Węgrami w XIV i XV wieku; relacje polsko-krzyżackie w XIII –XV wieku; rozwój monarchii stanowej i uprawnień stanu szlacheckiego. </w:t>
      </w:r>
    </w:p>
    <w:p w:rsidR="006D4E2D" w:rsidRDefault="006D4E2D" w:rsidP="006D4E2D">
      <w:pPr>
        <w:tabs>
          <w:tab w:val="left" w:pos="360"/>
        </w:tabs>
        <w:suppressAutoHyphens w:val="0"/>
        <w:rPr>
          <w:b/>
        </w:rPr>
      </w:pPr>
    </w:p>
    <w:p w:rsidR="006D4E2D" w:rsidRPr="0034679F" w:rsidRDefault="006D4E2D" w:rsidP="006D4E2D">
      <w:pPr>
        <w:tabs>
          <w:tab w:val="left" w:pos="360"/>
        </w:tabs>
        <w:suppressAutoHyphens w:val="0"/>
      </w:pPr>
      <w:r w:rsidRPr="0034679F">
        <w:rPr>
          <w:b/>
        </w:rPr>
        <w:t>Literatura</w:t>
      </w:r>
    </w:p>
    <w:p w:rsidR="00B90771" w:rsidRDefault="00B90771" w:rsidP="006D4E2D">
      <w:pPr>
        <w:pStyle w:val="Akapitzlist"/>
        <w:numPr>
          <w:ilvl w:val="0"/>
          <w:numId w:val="1"/>
        </w:numPr>
        <w:tabs>
          <w:tab w:val="left" w:pos="360"/>
        </w:tabs>
        <w:suppressAutoHyphens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Podręczniki do nauki historii dla szkoły podstawowej zatwierdzone przez MEN. </w:t>
      </w:r>
    </w:p>
    <w:p w:rsidR="00B90771" w:rsidRDefault="00B90771" w:rsidP="006D4E2D">
      <w:pPr>
        <w:pStyle w:val="Akapitzlist"/>
        <w:numPr>
          <w:ilvl w:val="0"/>
          <w:numId w:val="1"/>
        </w:numPr>
        <w:tabs>
          <w:tab w:val="left" w:pos="360"/>
        </w:tabs>
        <w:suppressAutoHyphens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Atlas historyczny. Od starożytności do współczesności. Nowa Era [lub inny]</w:t>
      </w:r>
    </w:p>
    <w:p w:rsidR="0068553A" w:rsidRDefault="0068553A"/>
    <w:p w:rsidR="00B90771" w:rsidRDefault="00B90771"/>
    <w:sectPr w:rsidR="00B90771" w:rsidSect="006855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32C" w:rsidRDefault="0058232C" w:rsidP="006A0B9F">
      <w:r>
        <w:separator/>
      </w:r>
    </w:p>
  </w:endnote>
  <w:endnote w:type="continuationSeparator" w:id="0">
    <w:p w:rsidR="0058232C" w:rsidRDefault="0058232C" w:rsidP="006A0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4667798"/>
      <w:docPartObj>
        <w:docPartGallery w:val="Page Numbers (Bottom of Page)"/>
        <w:docPartUnique/>
      </w:docPartObj>
    </w:sdtPr>
    <w:sdtEndPr/>
    <w:sdtContent>
      <w:p w:rsidR="006A0B9F" w:rsidRDefault="000D415A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0B9F" w:rsidRDefault="006A0B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32C" w:rsidRDefault="0058232C" w:rsidP="006A0B9F">
      <w:r>
        <w:separator/>
      </w:r>
    </w:p>
  </w:footnote>
  <w:footnote w:type="continuationSeparator" w:id="0">
    <w:p w:rsidR="0058232C" w:rsidRDefault="0058232C" w:rsidP="006A0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585845"/>
    <w:multiLevelType w:val="hybridMultilevel"/>
    <w:tmpl w:val="9B0A4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E2D"/>
    <w:rsid w:val="000D415A"/>
    <w:rsid w:val="0058232C"/>
    <w:rsid w:val="0068553A"/>
    <w:rsid w:val="006A0B9F"/>
    <w:rsid w:val="006D4E2D"/>
    <w:rsid w:val="00B40A76"/>
    <w:rsid w:val="00B9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7280C-9126-49DF-8681-C6E9B7D9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E2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D4E2D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6D4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A0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0B9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0B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0B9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Pati Dan</dc:creator>
  <cp:lastModifiedBy>Uczeń</cp:lastModifiedBy>
  <cp:revision>3</cp:revision>
  <dcterms:created xsi:type="dcterms:W3CDTF">2025-09-04T15:00:00Z</dcterms:created>
  <dcterms:modified xsi:type="dcterms:W3CDTF">2025-09-08T19:27:00Z</dcterms:modified>
</cp:coreProperties>
</file>