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11D" w:rsidRDefault="00CD411D" w:rsidP="00CD411D">
      <w:pPr>
        <w:spacing w:line="240" w:lineRule="auto"/>
        <w:jc w:val="right"/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ZAŁĄCZNIK 1B</w:t>
      </w:r>
    </w:p>
    <w:p w:rsidR="005072FA" w:rsidRPr="007C5603" w:rsidRDefault="005072FA" w:rsidP="005072FA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</w:pPr>
      <w:r w:rsidRPr="007C5603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ZASADY ORGANIZACJI SZKOLNEGO ETAPU KONKURSU PRZEDMIOTOWEGO Z MATEMATYKI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Pr="007C5603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DLA UCZNIÓW SZKÓŁ PODSTAWOWYCH WOJEWÓDZTWA ŚLĄSKIEGO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Pr="007C5603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W ROKU SZKOLNYM 202</w:t>
      </w:r>
      <w:r w:rsidR="000C568F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5</w:t>
      </w:r>
      <w:r w:rsidRPr="007C5603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/202</w:t>
      </w:r>
      <w:r w:rsidR="000C568F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6</w:t>
      </w:r>
    </w:p>
    <w:p w:rsidR="005072FA" w:rsidRPr="00812A24" w:rsidRDefault="005072FA" w:rsidP="005072FA">
      <w:pPr>
        <w:spacing w:line="240" w:lineRule="auto"/>
        <w:jc w:val="center"/>
        <w:rPr>
          <w:rFonts w:cstheme="minorHAnsi"/>
          <w:b/>
        </w:rPr>
      </w:pP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 xml:space="preserve">Pierwszy stopień Wojewódzkiego Konkursu Przedmiotowego z Matematyki dla uczniów szkół podstawowych zostanie przeprowadzony </w:t>
      </w:r>
      <w:r w:rsidR="00CD411D">
        <w:rPr>
          <w:rFonts w:cstheme="minorHAnsi"/>
        </w:rPr>
        <w:t>3</w:t>
      </w:r>
      <w:r w:rsidRPr="00812A24">
        <w:rPr>
          <w:rFonts w:cstheme="minorHAnsi"/>
        </w:rPr>
        <w:t xml:space="preserve"> </w:t>
      </w:r>
      <w:r>
        <w:rPr>
          <w:rFonts w:cstheme="minorHAnsi"/>
        </w:rPr>
        <w:t xml:space="preserve">października </w:t>
      </w:r>
      <w:r w:rsidRPr="00812A24">
        <w:rPr>
          <w:rFonts w:cstheme="minorHAnsi"/>
        </w:rPr>
        <w:t>202</w:t>
      </w:r>
      <w:r w:rsidR="00CD411D">
        <w:rPr>
          <w:rFonts w:cstheme="minorHAnsi"/>
        </w:rPr>
        <w:t>5</w:t>
      </w:r>
      <w:r w:rsidRPr="00812A24">
        <w:rPr>
          <w:rFonts w:cstheme="minorHAnsi"/>
        </w:rPr>
        <w:t xml:space="preserve"> r.</w:t>
      </w:r>
      <w:r>
        <w:rPr>
          <w:rFonts w:cstheme="minorHAnsi"/>
        </w:rPr>
        <w:t xml:space="preserve"> </w:t>
      </w:r>
      <w:bookmarkStart w:id="0" w:name="_GoBack"/>
      <w:bookmarkEnd w:id="0"/>
      <w:r w:rsidR="000C568F">
        <w:rPr>
          <w:rFonts w:cstheme="minorHAnsi"/>
        </w:rPr>
        <w:t>(120 min)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 w:rsidRPr="00812A24">
        <w:rPr>
          <w:rFonts w:cstheme="minorHAnsi"/>
        </w:rPr>
        <w:t>(Nie przewiduje się dodatkowego terminu organizacji konkursu).</w:t>
      </w: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Pierwszy stopień konkursu jest przeprowadzany w formie pisemnej ustalonej przez szkolną komisję konkursową.</w:t>
      </w:r>
    </w:p>
    <w:p w:rsidR="005072FA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Podczas pracy z arkuszem konkursowym uczeń może korzy</w:t>
      </w:r>
      <w:r w:rsidR="008750A7">
        <w:rPr>
          <w:rFonts w:cstheme="minorHAnsi"/>
        </w:rPr>
        <w:t>stać z przyborów geometrycznych, w które zaopatruje się samodzielnie.</w:t>
      </w:r>
      <w:r w:rsidRPr="00812A24">
        <w:rPr>
          <w:rFonts w:cstheme="minorHAnsi"/>
        </w:rPr>
        <w:t xml:space="preserve"> </w:t>
      </w:r>
      <w:r w:rsidRPr="00812A24">
        <w:rPr>
          <w:rFonts w:cstheme="minorHAnsi"/>
          <w:b/>
        </w:rPr>
        <w:t>N</w:t>
      </w:r>
      <w:r w:rsidR="008750A7">
        <w:rPr>
          <w:rFonts w:cstheme="minorHAnsi"/>
          <w:b/>
        </w:rPr>
        <w:t>ie może korzystać z kalkulatora, korektorów.</w:t>
      </w:r>
    </w:p>
    <w:p w:rsidR="008750A7" w:rsidRPr="008750A7" w:rsidRDefault="008750A7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</w:rPr>
      </w:pPr>
      <w:r w:rsidRPr="008750A7">
        <w:rPr>
          <w:rFonts w:cstheme="minorHAnsi"/>
        </w:rPr>
        <w:t>Obowiązek używania</w:t>
      </w:r>
      <w:r>
        <w:rPr>
          <w:rFonts w:cstheme="minorHAnsi"/>
          <w:b/>
        </w:rPr>
        <w:t xml:space="preserve"> niebieskiego niewymazywalnego </w:t>
      </w:r>
      <w:r w:rsidRPr="008750A7">
        <w:rPr>
          <w:rFonts w:cstheme="minorHAnsi"/>
        </w:rPr>
        <w:t>długopisu l</w:t>
      </w:r>
      <w:r>
        <w:rPr>
          <w:rFonts w:cstheme="minorHAnsi"/>
        </w:rPr>
        <w:t>u</w:t>
      </w:r>
      <w:r w:rsidRPr="008750A7">
        <w:rPr>
          <w:rFonts w:cstheme="minorHAnsi"/>
        </w:rPr>
        <w:t>b pióra</w:t>
      </w:r>
      <w:r>
        <w:rPr>
          <w:rFonts w:cstheme="minorHAnsi"/>
        </w:rPr>
        <w:t>.</w:t>
      </w: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Do sali, w której odbywają się eliminacje konkursowe, uczeń nie może wnosić żadnych urządzeń telekomunikacyjnych i informatycznych.</w:t>
      </w: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Uczestnicy konkursu mogą wnieść na salę, w której odbywa się konkurs wyłącznie małą butelkę wody.</w:t>
      </w: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Do pierwszego stopnia przystępują uczniowie na zasadzie dobrowolności.</w:t>
      </w:r>
    </w:p>
    <w:p w:rsidR="005072FA" w:rsidRPr="00812A24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12A24">
        <w:rPr>
          <w:rFonts w:cstheme="minorHAnsi"/>
        </w:rPr>
        <w:t>W czasie trwania konkursu uczestnicy nie opuszczają sali.</w:t>
      </w:r>
    </w:p>
    <w:p w:rsidR="005072FA" w:rsidRPr="0080274D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0274D">
        <w:rPr>
          <w:rFonts w:cstheme="minorHAnsi"/>
        </w:rPr>
        <w:t>W przypadku stwierdzenia niesamodzielnej pracy uczestnika, korzystania z niedozwolonych pomocy dydaktycznych, używania urządzeń telekomunikacyjnych lub zakłócania prawidłowego przebiegu konkursu przewodniczący podejmuje decyzję o przerwaniu konkursu dla danego uczestnika i unieważnia jego pracę.</w:t>
      </w:r>
    </w:p>
    <w:p w:rsidR="005072FA" w:rsidRPr="0080274D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80274D">
        <w:rPr>
          <w:rFonts w:cstheme="minorHAnsi"/>
        </w:rPr>
        <w:t>Do drugiego stopnia kwalifikują się uczniowie, którzy na pierwszym stopniu uzyskali co najmniej 8</w:t>
      </w:r>
      <w:r w:rsidR="0080274D">
        <w:rPr>
          <w:rFonts w:cstheme="minorHAnsi"/>
        </w:rPr>
        <w:t>0</w:t>
      </w:r>
      <w:r w:rsidRPr="0080274D">
        <w:rPr>
          <w:rFonts w:cstheme="minorHAnsi"/>
        </w:rPr>
        <w:t xml:space="preserve"> % punktów możliwych do zdobycia.</w:t>
      </w:r>
    </w:p>
    <w:p w:rsidR="00F362CC" w:rsidRPr="0080274D" w:rsidRDefault="00F362CC" w:rsidP="00F362CC">
      <w:pPr>
        <w:pStyle w:val="Akapitzlist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80274D">
        <w:rPr>
          <w:rFonts w:cstheme="minorHAnsi"/>
          <w:sz w:val="24"/>
          <w:szCs w:val="24"/>
        </w:rPr>
        <w:t>Ogłoszenie wyników stopnia pierwszego następuje w terminie do 3 dni, licząc od następnego dnia po przeprowadzeniu konkursu</w:t>
      </w:r>
      <w:r w:rsidR="003C0737" w:rsidRPr="0080274D">
        <w:rPr>
          <w:rFonts w:cstheme="minorHAnsi"/>
          <w:sz w:val="24"/>
          <w:szCs w:val="24"/>
        </w:rPr>
        <w:t>.</w:t>
      </w:r>
    </w:p>
    <w:p w:rsidR="005072FA" w:rsidRPr="0080274D" w:rsidRDefault="005072FA" w:rsidP="005072FA">
      <w:pPr>
        <w:pStyle w:val="Akapitzlist"/>
        <w:numPr>
          <w:ilvl w:val="0"/>
          <w:numId w:val="1"/>
        </w:numPr>
        <w:spacing w:line="240" w:lineRule="auto"/>
        <w:rPr>
          <w:rFonts w:cstheme="minorHAnsi"/>
        </w:rPr>
      </w:pPr>
      <w:r w:rsidRPr="0080274D">
        <w:rPr>
          <w:rFonts w:cstheme="minorHAnsi"/>
        </w:rPr>
        <w:t xml:space="preserve">UWAGA: Ocena zadań otwartych obejmuje także </w:t>
      </w:r>
      <w:r w:rsidRPr="0080274D">
        <w:rPr>
          <w:rFonts w:cstheme="minorHAnsi"/>
          <w:b/>
        </w:rPr>
        <w:t>poprawność zapisu i uzasadnienie odpowiedzi</w:t>
      </w:r>
      <w:r w:rsidRPr="0080274D">
        <w:rPr>
          <w:rFonts w:cstheme="minorHAnsi"/>
        </w:rPr>
        <w:t>.</w:t>
      </w:r>
    </w:p>
    <w:p w:rsidR="005072FA" w:rsidRPr="00812A24" w:rsidRDefault="005072FA" w:rsidP="005072FA">
      <w:pPr>
        <w:spacing w:line="240" w:lineRule="auto"/>
        <w:rPr>
          <w:rFonts w:cstheme="minorHAnsi"/>
        </w:rPr>
      </w:pPr>
    </w:p>
    <w:p w:rsidR="005072FA" w:rsidRPr="00812A24" w:rsidRDefault="005072FA" w:rsidP="005072FA">
      <w:pPr>
        <w:spacing w:line="240" w:lineRule="auto"/>
        <w:jc w:val="center"/>
        <w:rPr>
          <w:rFonts w:cstheme="minorHAnsi"/>
          <w:b/>
        </w:rPr>
      </w:pPr>
      <w:r w:rsidRPr="00812A24">
        <w:rPr>
          <w:rFonts w:cstheme="minorHAnsi"/>
          <w:b/>
        </w:rPr>
        <w:t xml:space="preserve">Zakres wiedzy i umiejętności oraz wykaz literatury </w:t>
      </w:r>
      <w:r w:rsidRPr="00812A24">
        <w:rPr>
          <w:rFonts w:cstheme="minorHAnsi"/>
          <w:b/>
        </w:rPr>
        <w:br/>
        <w:t>Wojewódzkiego Konkursu Przedmiotowego z Matematyki</w:t>
      </w:r>
      <w:r w:rsidRPr="00812A24">
        <w:rPr>
          <w:rFonts w:cstheme="minorHAnsi"/>
          <w:b/>
        </w:rPr>
        <w:br/>
        <w:t xml:space="preserve"> dla uczniów szkół podstawowych województwa śląskiego </w:t>
      </w:r>
      <w:r w:rsidRPr="00812A24">
        <w:rPr>
          <w:rFonts w:cstheme="minorHAnsi"/>
          <w:b/>
        </w:rPr>
        <w:br/>
        <w:t>w roku szkolnym 202</w:t>
      </w:r>
      <w:r w:rsidR="000C568F">
        <w:rPr>
          <w:rFonts w:cstheme="minorHAnsi"/>
          <w:b/>
        </w:rPr>
        <w:t>5</w:t>
      </w:r>
      <w:r w:rsidRPr="00812A24">
        <w:rPr>
          <w:rFonts w:cstheme="minorHAnsi"/>
          <w:b/>
        </w:rPr>
        <w:t>/202</w:t>
      </w:r>
      <w:r w:rsidR="000C568F">
        <w:rPr>
          <w:rFonts w:cstheme="minorHAnsi"/>
          <w:b/>
        </w:rPr>
        <w:t>6</w:t>
      </w:r>
    </w:p>
    <w:p w:rsidR="005072FA" w:rsidRPr="00812A24" w:rsidRDefault="005072FA" w:rsidP="005072F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5072FA" w:rsidRPr="00812A24" w:rsidRDefault="005072FA" w:rsidP="005072F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12A24">
        <w:rPr>
          <w:rFonts w:cstheme="minorHAnsi"/>
          <w:b/>
        </w:rPr>
        <w:t xml:space="preserve">I.  Zakres umiejętności 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1)  Sprawność rachunkowa.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Uczeń: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1)  wykonuje </w:t>
      </w:r>
      <w:r w:rsidRPr="00812A2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działania</w:t>
      </w:r>
      <w:r w:rsidRPr="00812A24">
        <w:rPr>
          <w:rFonts w:asciiTheme="minorHAnsi" w:hAnsiTheme="minorHAnsi" w:cstheme="minorHAnsi"/>
          <w:sz w:val="22"/>
          <w:szCs w:val="22"/>
        </w:rPr>
        <w:t xml:space="preserve"> i wykorzystuje te umiejętności w sytuacjach praktycznych,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2)  weryfikuje i interpretuje otrzymane wyniki oraz ocenia sensowność rozwiązania,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2)  Wykorzystanie i tworzenie informacji.</w:t>
      </w:r>
    </w:p>
    <w:p w:rsidR="005072FA" w:rsidRPr="00812A24" w:rsidRDefault="005072FA" w:rsidP="005072FA">
      <w:pPr>
        <w:pStyle w:val="Textbody"/>
        <w:spacing w:after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Uczeń:</w:t>
      </w:r>
    </w:p>
    <w:p w:rsidR="005072FA" w:rsidRPr="00812A24" w:rsidRDefault="005072FA" w:rsidP="005072FA">
      <w:pPr>
        <w:pStyle w:val="Textbod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odczytuje, interpretuje i przetwarza dane przedstawione w różnej formie, </w:t>
      </w:r>
    </w:p>
    <w:p w:rsidR="005072FA" w:rsidRPr="00812A24" w:rsidRDefault="005072FA" w:rsidP="005072FA">
      <w:pPr>
        <w:pStyle w:val="Textbod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interpretuje  teksty o charakterze matematycznym oraz graficznie przedstawia dane,</w:t>
      </w:r>
    </w:p>
    <w:p w:rsidR="005072FA" w:rsidRPr="00812A24" w:rsidRDefault="005072FA" w:rsidP="005072FA">
      <w:pPr>
        <w:pStyle w:val="Textbod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używa język matematyczny do opisu rozumowania i uzyskanych wyników.</w:t>
      </w:r>
    </w:p>
    <w:p w:rsidR="005072FA" w:rsidRPr="00812A24" w:rsidRDefault="005072FA" w:rsidP="005072FA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  3)  Wykorzystanie i interpretowanie reprezentacji.</w:t>
      </w:r>
    </w:p>
    <w:p w:rsidR="005072FA" w:rsidRPr="00812A24" w:rsidRDefault="005072FA" w:rsidP="005072FA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  Uczeń:</w:t>
      </w:r>
    </w:p>
    <w:p w:rsidR="005072FA" w:rsidRPr="00812A24" w:rsidRDefault="005072FA" w:rsidP="005072FA">
      <w:pPr>
        <w:pStyle w:val="Textbod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używa proste, dobrze znane obiekty matematyczne, interpretuje pojęcia matematyczne </w:t>
      </w:r>
    </w:p>
    <w:p w:rsidR="005072FA" w:rsidRPr="00812A24" w:rsidRDefault="005072FA" w:rsidP="005072FA">
      <w:pPr>
        <w:pStyle w:val="Textbody"/>
        <w:spacing w:after="0"/>
        <w:ind w:left="1155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i operuje obiektami matematycznymi,</w:t>
      </w:r>
    </w:p>
    <w:p w:rsidR="005072FA" w:rsidRPr="00812A24" w:rsidRDefault="005072FA" w:rsidP="005072FA">
      <w:pPr>
        <w:pStyle w:val="Textbod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lastRenderedPageBreak/>
        <w:t>dobiera model matematyczny do prostej sytuacji oraz buduje go w różnych kontekstach, także w kontekście praktycznym.</w:t>
      </w:r>
    </w:p>
    <w:p w:rsidR="005072FA" w:rsidRPr="00812A24" w:rsidRDefault="005072FA" w:rsidP="005072FA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   4)   Rozumowanie i argumentacja.</w:t>
      </w:r>
    </w:p>
    <w:p w:rsidR="005072FA" w:rsidRPr="00812A24" w:rsidRDefault="005072FA" w:rsidP="005072FA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       Uczeń:</w:t>
      </w:r>
    </w:p>
    <w:p w:rsidR="005072FA" w:rsidRPr="00812A24" w:rsidRDefault="005072FA" w:rsidP="005072FA">
      <w:pPr>
        <w:pStyle w:val="Textbod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przeprowadza proste rozumowanie, podaje argumenty uzasadniające poprawność rozumowania, rozróżnia dowód od przykładu,</w:t>
      </w:r>
    </w:p>
    <w:p w:rsidR="005072FA" w:rsidRPr="00812A24" w:rsidRDefault="005072FA" w:rsidP="005072FA">
      <w:pPr>
        <w:pStyle w:val="Textbod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dostrzega regularności, podobieństwa oraz analogie i formułuje wnioski na ich podstawie,</w:t>
      </w:r>
    </w:p>
    <w:p w:rsidR="005072FA" w:rsidRPr="00812A24" w:rsidRDefault="005072FA" w:rsidP="005072FA">
      <w:pPr>
        <w:pStyle w:val="Textbod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>stosuje strategię wynikającą z treści zadania, tworzy strategię rozwiązania problemu, również w rozwiązaniach wieloetapowych oraz w takich, które wymagają umiejętności łączenia wiedzy z różnych działów matematyki.</w:t>
      </w:r>
    </w:p>
    <w:p w:rsidR="005072FA" w:rsidRPr="00812A24" w:rsidRDefault="005072FA" w:rsidP="005072F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072FA" w:rsidRPr="00812A24" w:rsidRDefault="005072FA" w:rsidP="005072FA">
      <w:pPr>
        <w:spacing w:line="240" w:lineRule="auto"/>
        <w:jc w:val="both"/>
        <w:rPr>
          <w:rFonts w:cstheme="minorHAnsi"/>
          <w:b/>
          <w:u w:val="single"/>
        </w:rPr>
      </w:pPr>
      <w:bookmarkStart w:id="1" w:name="_Hlk19478850"/>
    </w:p>
    <w:p w:rsidR="005072FA" w:rsidRPr="00812A24" w:rsidRDefault="005072FA" w:rsidP="005072FA">
      <w:pPr>
        <w:spacing w:line="240" w:lineRule="auto"/>
        <w:jc w:val="both"/>
        <w:rPr>
          <w:rFonts w:cstheme="minorHAnsi"/>
          <w:b/>
        </w:rPr>
      </w:pPr>
      <w:r w:rsidRPr="00812A24">
        <w:rPr>
          <w:rFonts w:cstheme="minorHAnsi"/>
          <w:b/>
        </w:rPr>
        <w:t>II. Zakres treści</w:t>
      </w:r>
    </w:p>
    <w:p w:rsidR="005072FA" w:rsidRPr="00812A24" w:rsidRDefault="005072FA" w:rsidP="005072FA">
      <w:p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Na każdym etapie konkursu obowiązują wiadomości i umiejętności wynikające z podstawy programowej lub wykraczające poza tę podstawę w zakresie opisanym poniżej. Uczeń w szczególności: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zna liczby wymierne, umie je zapisać w różnych postaciach, wykonuje działania na liczbach wymiernych,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wartość bezwzględną liczb,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mnoży i dzieli potęgi o wykładnikach całkowitych dodatnich, mnoży potęgi o różnych podstawach i jednakowych wykładnikach, podnosi potęgę do potęgi,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odczytuje i zapisuje liczby w notacji wykładniczej,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pierwiastek z iloczynu i ilorazu dwóch liczb, wyłącza liczbę przed znak pierwiastka i włącza liczbę pod znak pierwiastka, mnoży i dzieli pierwiastki tego samego stopnia,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wykonuje obliczenia dotyczące wagi, czasu, temperatury, pieniędzy i odległości w tym skali,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dodaje i odejmuje sumy algebraiczne, dokonując przy tym redukcji wyrazów podobnych, mnoży sumy algebraiczne przez jednomian i dodaje wyrażenia powstałe z mnożenia sum algebraicznych przez jednomiany, mnoży dwumian przez dwumian, dokonując redukcji wyrazów podobnych,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dowolny procent danej liczby, liczbę na podstawie danego jej procentu oraz jakim procentem jednej liczby jest druga liczba, stosuje obliczenia procentowe do rozwiązywania problemów w kontekście praktycznym,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oblicza prędkość, drogę i czas,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stosuje i zamienia jednostki (długości, pola, objętości i pojemności),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zna i stosuje średnią arytmetyczną i średnią ważoną,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zna i stosuje twierdzenie o równości kątów wierzchołkowych i przyległych,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stosuje twierdzenie o sumie kątów wewnętrznych trójkąta,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miary kątów, stosując przy tym poznane własności kątów i wielokątów,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oblicza pola powierzchni i obwody wielokątów,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zna własności liczb i figur oraz wykorzystuje je do rozwiązania problemu,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objętość i pole powierzchni prostopadłościanów,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rozwiązuje równania pierwszego stopnia z jedną niewiadomą metodą równań równoważnych,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rozwiązuje zadania tekstowe, w których wymagana jest umiejętność zamiany jednostek (również prędkości), sprawność w obliczeniach procentowych oraz rozwiązywania równań, które po prostych przekształceniach wyrażeń algebraicznych sprowadzają się do równań pierwszego stopnia z jedną niewiadomą,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opisuje sytuację przedstawioną w zadaniu za pomocą wyrażenia arytmetycznego lub równania, stosuje wyrażenia algebraiczne do zapisywania informacji i uogólniania spostrzeżeń,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odczytuje i interpretuje informacje podane w różnej postaci,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 xml:space="preserve">sprawdza na przykładach dostrzeżone prawidłowości i je opisuje, 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analizuje i sprawdza z warunkami zadania otrzymane wyniki oraz ocenia ich sensowność.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zna i stosuje twierdzenie o równości kątów odpowiadających i naprzemianległych,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lastRenderedPageBreak/>
        <w:t>zna i stosuje cechy przystawania trójkątów,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zna nierówności trójkąta,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przeprowadza proste dowody geometryczne,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oblicza, ile jest obiektów, mających daną własność, w przypadkach niewymagających stosowania reguł mnożenia i dodawania,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interpretuje dane przedstawione za pomocą tabel, diagramów słupkowych i kołowych, wykresów, w tym także wykresów w układzie współrzędnych,</w:t>
      </w:r>
    </w:p>
    <w:p w:rsidR="005072FA" w:rsidRPr="00812A24" w:rsidRDefault="005072FA" w:rsidP="005072F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12A24">
        <w:rPr>
          <w:rFonts w:cstheme="minorHAnsi"/>
        </w:rPr>
        <w:t>oblicza pola powierzchni i objętości graniastosłupów prostych, w tym prawidłowych.</w:t>
      </w:r>
    </w:p>
    <w:p w:rsidR="005072FA" w:rsidRDefault="005072FA" w:rsidP="005072FA">
      <w:pPr>
        <w:spacing w:after="0" w:line="240" w:lineRule="auto"/>
        <w:rPr>
          <w:rFonts w:cstheme="minorHAnsi"/>
          <w:b/>
        </w:rPr>
      </w:pPr>
    </w:p>
    <w:bookmarkEnd w:id="1"/>
    <w:p w:rsidR="005072FA" w:rsidRPr="00812A24" w:rsidRDefault="005072FA" w:rsidP="005072FA">
      <w:pPr>
        <w:pStyle w:val="Akapitzlist"/>
        <w:spacing w:line="240" w:lineRule="auto"/>
        <w:rPr>
          <w:rFonts w:cstheme="minorHAnsi"/>
        </w:rPr>
      </w:pPr>
    </w:p>
    <w:p w:rsidR="005072FA" w:rsidRPr="00812A24" w:rsidRDefault="005072FA" w:rsidP="005072FA">
      <w:pPr>
        <w:pStyle w:val="Akapitzlist"/>
        <w:spacing w:after="0" w:line="240" w:lineRule="auto"/>
        <w:ind w:left="0" w:hanging="25456"/>
        <w:jc w:val="both"/>
        <w:rPr>
          <w:rFonts w:cstheme="minorHAnsi"/>
        </w:rPr>
      </w:pPr>
    </w:p>
    <w:p w:rsidR="005072FA" w:rsidRPr="00812A24" w:rsidRDefault="005072FA" w:rsidP="005072FA">
      <w:pPr>
        <w:spacing w:after="120" w:line="240" w:lineRule="auto"/>
        <w:jc w:val="both"/>
        <w:rPr>
          <w:rFonts w:cstheme="minorHAnsi"/>
          <w:b/>
        </w:rPr>
      </w:pPr>
      <w:r w:rsidRPr="00812A24">
        <w:rPr>
          <w:rFonts w:cstheme="minorHAnsi"/>
          <w:b/>
        </w:rPr>
        <w:t>III. Proponowana literatura:</w:t>
      </w:r>
    </w:p>
    <w:p w:rsidR="005072FA" w:rsidRPr="00812A24" w:rsidRDefault="005072FA" w:rsidP="005072FA">
      <w:pPr>
        <w:pStyle w:val="Textbody"/>
        <w:widowControl w:val="0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Mirosław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Uscki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 xml:space="preserve">,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 xml:space="preserve">, Zbigniew Bobiński, </w:t>
      </w:r>
      <w:r w:rsidRPr="00812A24">
        <w:rPr>
          <w:rFonts w:asciiTheme="minorHAnsi" w:hAnsiTheme="minorHAnsi" w:cstheme="minorHAnsi"/>
          <w:i/>
          <w:sz w:val="22"/>
          <w:szCs w:val="22"/>
        </w:rPr>
        <w:t>Koło matematyczne w szkole podstawowej</w:t>
      </w:r>
      <w:r w:rsidRPr="00812A24">
        <w:rPr>
          <w:rFonts w:asciiTheme="minorHAnsi" w:hAnsiTheme="minorHAnsi" w:cstheme="minorHAnsi"/>
          <w:sz w:val="22"/>
          <w:szCs w:val="22"/>
        </w:rPr>
        <w:t xml:space="preserve">, Wydawnictwo AKSJOMAT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>, Toruń, wyd. 2013.</w:t>
      </w:r>
    </w:p>
    <w:p w:rsidR="005072FA" w:rsidRPr="00812A24" w:rsidRDefault="005072FA" w:rsidP="005072FA">
      <w:pPr>
        <w:pStyle w:val="Textbody"/>
        <w:widowControl w:val="0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Mirosław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Uscki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 xml:space="preserve">,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 xml:space="preserve">, Zbigniew Bobiński, </w:t>
      </w:r>
      <w:r w:rsidRPr="00812A24">
        <w:rPr>
          <w:rFonts w:asciiTheme="minorHAnsi" w:hAnsiTheme="minorHAnsi" w:cstheme="minorHAnsi"/>
          <w:i/>
          <w:sz w:val="22"/>
          <w:szCs w:val="22"/>
        </w:rPr>
        <w:t>Koło matematyczne w gimnazjum</w:t>
      </w:r>
      <w:r w:rsidRPr="00812A24">
        <w:rPr>
          <w:rFonts w:asciiTheme="minorHAnsi" w:hAnsiTheme="minorHAnsi" w:cstheme="minorHAnsi"/>
          <w:sz w:val="22"/>
          <w:szCs w:val="22"/>
        </w:rPr>
        <w:t xml:space="preserve">,   Wydawnictwo AKSJOMAT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>, Toruń, wyd. 2010.</w:t>
      </w:r>
    </w:p>
    <w:p w:rsidR="005072FA" w:rsidRPr="00812A24" w:rsidRDefault="005072FA" w:rsidP="005072FA">
      <w:pPr>
        <w:pStyle w:val="Textbody"/>
        <w:numPr>
          <w:ilvl w:val="0"/>
          <w:numId w:val="6"/>
        </w:numPr>
        <w:tabs>
          <w:tab w:val="left" w:pos="710"/>
          <w:tab w:val="left" w:pos="11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Zbigniew Bobiński, Agnieszka Krause, Maria Kobus,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 xml:space="preserve">, </w:t>
      </w:r>
      <w:r w:rsidRPr="00812A24">
        <w:rPr>
          <w:rFonts w:asciiTheme="minorHAnsi" w:hAnsiTheme="minorHAnsi" w:cstheme="minorHAnsi"/>
          <w:i/>
          <w:sz w:val="22"/>
          <w:szCs w:val="22"/>
        </w:rPr>
        <w:t>„Liga Zadaniowa”</w:t>
      </w:r>
      <w:r w:rsidRPr="00812A24">
        <w:rPr>
          <w:rFonts w:asciiTheme="minorHAnsi" w:hAnsiTheme="minorHAnsi" w:cstheme="minorHAnsi"/>
          <w:sz w:val="22"/>
          <w:szCs w:val="22"/>
        </w:rPr>
        <w:t xml:space="preserve"> </w:t>
      </w:r>
      <w:r w:rsidRPr="00812A24">
        <w:rPr>
          <w:rFonts w:asciiTheme="minorHAnsi" w:hAnsiTheme="minorHAnsi" w:cstheme="minorHAnsi"/>
          <w:i/>
          <w:sz w:val="22"/>
          <w:szCs w:val="22"/>
        </w:rPr>
        <w:t>XXX lat konkursu matematycznego</w:t>
      </w:r>
      <w:r w:rsidRPr="00812A24">
        <w:rPr>
          <w:rFonts w:asciiTheme="minorHAnsi" w:hAnsiTheme="minorHAnsi" w:cstheme="minorHAnsi"/>
          <w:sz w:val="22"/>
          <w:szCs w:val="22"/>
        </w:rPr>
        <w:t xml:space="preserve">, Wydawnictwo AKSJOMAT Piotr </w:t>
      </w:r>
      <w:proofErr w:type="spellStart"/>
      <w:r w:rsidRPr="00812A24">
        <w:rPr>
          <w:rFonts w:asciiTheme="minorHAnsi" w:hAnsiTheme="minorHAnsi" w:cstheme="minorHAnsi"/>
          <w:sz w:val="22"/>
          <w:szCs w:val="22"/>
        </w:rPr>
        <w:t>Nodzyński</w:t>
      </w:r>
      <w:proofErr w:type="spellEnd"/>
      <w:r w:rsidRPr="00812A24">
        <w:rPr>
          <w:rFonts w:asciiTheme="minorHAnsi" w:hAnsiTheme="minorHAnsi" w:cstheme="minorHAnsi"/>
          <w:sz w:val="22"/>
          <w:szCs w:val="22"/>
        </w:rPr>
        <w:t>, Toruń, wyd. 2018.</w:t>
      </w:r>
    </w:p>
    <w:p w:rsidR="005072FA" w:rsidRPr="00812A24" w:rsidRDefault="005072FA" w:rsidP="005072FA">
      <w:pPr>
        <w:pStyle w:val="Textbody"/>
        <w:numPr>
          <w:ilvl w:val="0"/>
          <w:numId w:val="6"/>
        </w:numPr>
        <w:tabs>
          <w:tab w:val="left" w:pos="710"/>
          <w:tab w:val="left" w:pos="1134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812A24">
        <w:rPr>
          <w:rStyle w:val="Pogrubienie"/>
          <w:rFonts w:asciiTheme="minorHAnsi" w:hAnsiTheme="minorHAnsi" w:cstheme="minorHAnsi"/>
          <w:sz w:val="22"/>
          <w:szCs w:val="22"/>
        </w:rPr>
        <w:t xml:space="preserve">Testy konkursowe Wojewódzkiego Konkursu Przedmiotowego z Matematyki </w:t>
      </w:r>
      <w:r w:rsidRPr="00812A24">
        <w:rPr>
          <w:rStyle w:val="Pogrubienie"/>
          <w:rFonts w:asciiTheme="minorHAnsi" w:hAnsiTheme="minorHAnsi" w:cstheme="minorHAnsi"/>
          <w:sz w:val="22"/>
          <w:szCs w:val="22"/>
        </w:rPr>
        <w:br/>
        <w:t>dla uczniów szkół podstawowych woj. śląskiego w roku szkolnym 2014/15, 2015/16, 2016/2017, 2017/2018,  2018/2019, 2019/2020.</w:t>
      </w:r>
    </w:p>
    <w:p w:rsidR="005072FA" w:rsidRPr="00812A24" w:rsidRDefault="005072FA" w:rsidP="005072FA">
      <w:pPr>
        <w:pStyle w:val="Textbody"/>
        <w:numPr>
          <w:ilvl w:val="0"/>
          <w:numId w:val="6"/>
        </w:numPr>
        <w:tabs>
          <w:tab w:val="left" w:pos="710"/>
          <w:tab w:val="left" w:pos="1134"/>
        </w:tabs>
        <w:jc w:val="both"/>
        <w:rPr>
          <w:rStyle w:val="Pogrubienie"/>
          <w:rFonts w:asciiTheme="minorHAnsi" w:hAnsiTheme="minorHAnsi" w:cstheme="minorHAnsi"/>
          <w:sz w:val="22"/>
          <w:szCs w:val="22"/>
        </w:rPr>
      </w:pPr>
      <w:r w:rsidRPr="00812A24">
        <w:rPr>
          <w:rStyle w:val="Pogrubienie"/>
          <w:rFonts w:asciiTheme="minorHAnsi" w:hAnsiTheme="minorHAnsi" w:cstheme="minorHAnsi"/>
          <w:sz w:val="22"/>
          <w:szCs w:val="22"/>
        </w:rPr>
        <w:t>Testy konkursowe Wojewódzkiego Konkursu Przedmiotowego z Matematyki dla uczniów gimnazjów woj. śląskiego w roku szkolnym 2011/2012, 2012/2013, 2013/2014 2014/2015, 2015/2016, 2016/2017 oraz uczniów dotychczasowych gimnazjów w roku szkolnym 2017/2018,  2018/2019.</w:t>
      </w:r>
    </w:p>
    <w:p w:rsidR="005072FA" w:rsidRPr="00812A24" w:rsidRDefault="005072FA" w:rsidP="005072FA">
      <w:pPr>
        <w:pStyle w:val="Textbody"/>
        <w:numPr>
          <w:ilvl w:val="0"/>
          <w:numId w:val="6"/>
        </w:numPr>
        <w:tabs>
          <w:tab w:val="left" w:pos="710"/>
          <w:tab w:val="left" w:pos="113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2A24">
        <w:rPr>
          <w:rStyle w:val="Pogrubienie"/>
          <w:rFonts w:asciiTheme="minorHAnsi" w:hAnsiTheme="minorHAnsi" w:cstheme="minorHAnsi"/>
          <w:sz w:val="22"/>
          <w:szCs w:val="22"/>
        </w:rPr>
        <w:t>Ogólnodostępne testy konkursowe Wojewódzkich Konkursów Przedmiotowych               z Matematyki organizowanych w innych województwach w latach szkolnych 2017/2018,  2018/2019, 2019/2020.</w:t>
      </w:r>
    </w:p>
    <w:p w:rsidR="005072FA" w:rsidRPr="00812A24" w:rsidRDefault="005072FA" w:rsidP="005072FA">
      <w:pPr>
        <w:pStyle w:val="Textbod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72FA" w:rsidRPr="00812A24" w:rsidRDefault="005072FA" w:rsidP="005072FA">
      <w:pPr>
        <w:pStyle w:val="Textbod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72FA" w:rsidRPr="00812A24" w:rsidRDefault="005072FA" w:rsidP="005072FA">
      <w:pPr>
        <w:pStyle w:val="Textbody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12A24">
        <w:rPr>
          <w:rFonts w:asciiTheme="minorHAnsi" w:hAnsiTheme="minorHAnsi" w:cstheme="minorHAnsi"/>
          <w:b/>
          <w:sz w:val="22"/>
          <w:szCs w:val="22"/>
        </w:rPr>
        <w:t>Uwagi:</w:t>
      </w:r>
    </w:p>
    <w:p w:rsidR="005072FA" w:rsidRPr="00812A24" w:rsidRDefault="005072FA" w:rsidP="005072FA">
      <w:pPr>
        <w:pStyle w:val="Textbody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12A24">
        <w:rPr>
          <w:rFonts w:asciiTheme="minorHAnsi" w:hAnsiTheme="minorHAnsi" w:cstheme="minorHAnsi"/>
          <w:b/>
          <w:sz w:val="22"/>
          <w:szCs w:val="22"/>
        </w:rPr>
        <w:t>Proponowana literatura obowiązuje w zakresie treści podanych na poszczególnych stopniach konkursu.</w:t>
      </w:r>
    </w:p>
    <w:p w:rsidR="005072FA" w:rsidRPr="00812A24" w:rsidRDefault="005072FA" w:rsidP="005072FA">
      <w:pPr>
        <w:pStyle w:val="Textbody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 Ocena zadań otwartych obejmuje także </w:t>
      </w:r>
      <w:r w:rsidRPr="00812A24">
        <w:rPr>
          <w:rFonts w:asciiTheme="minorHAnsi" w:hAnsiTheme="minorHAnsi" w:cstheme="minorHAnsi"/>
          <w:b/>
          <w:sz w:val="22"/>
          <w:szCs w:val="22"/>
        </w:rPr>
        <w:t>poprawność zapisu i uzasadnienie odpowiedzi</w:t>
      </w:r>
      <w:r w:rsidRPr="00812A24">
        <w:rPr>
          <w:rFonts w:asciiTheme="minorHAnsi" w:hAnsiTheme="minorHAnsi" w:cstheme="minorHAnsi"/>
          <w:sz w:val="22"/>
          <w:szCs w:val="22"/>
        </w:rPr>
        <w:t>.</w:t>
      </w:r>
    </w:p>
    <w:p w:rsidR="005072FA" w:rsidRPr="000D21BB" w:rsidRDefault="005072FA" w:rsidP="005072FA">
      <w:pPr>
        <w:pStyle w:val="Textbody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12A24">
        <w:rPr>
          <w:rFonts w:asciiTheme="minorHAnsi" w:hAnsiTheme="minorHAnsi" w:cstheme="minorHAnsi"/>
          <w:sz w:val="22"/>
          <w:szCs w:val="22"/>
        </w:rPr>
        <w:t xml:space="preserve">Uczestnicy </w:t>
      </w:r>
      <w:r w:rsidRPr="00812A24">
        <w:rPr>
          <w:rFonts w:asciiTheme="minorHAnsi" w:hAnsiTheme="minorHAnsi" w:cstheme="minorHAnsi"/>
          <w:b/>
          <w:sz w:val="22"/>
          <w:szCs w:val="22"/>
        </w:rPr>
        <w:t>nie mogą korzystać z kalkulatorów</w:t>
      </w:r>
      <w:r w:rsidRPr="000D21BB">
        <w:rPr>
          <w:rFonts w:asciiTheme="minorHAnsi" w:hAnsiTheme="minorHAnsi" w:cstheme="minorHAnsi"/>
          <w:sz w:val="22"/>
          <w:szCs w:val="22"/>
        </w:rPr>
        <w:t>.</w:t>
      </w:r>
    </w:p>
    <w:p w:rsidR="00A4422F" w:rsidRDefault="00CD411D"/>
    <w:sectPr w:rsidR="00A44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AB0"/>
    <w:multiLevelType w:val="hybridMultilevel"/>
    <w:tmpl w:val="FA400584"/>
    <w:lvl w:ilvl="0" w:tplc="E2600E8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312D8"/>
    <w:multiLevelType w:val="hybridMultilevel"/>
    <w:tmpl w:val="04D018F8"/>
    <w:lvl w:ilvl="0" w:tplc="60BEB7E0">
      <w:start w:val="1"/>
      <w:numFmt w:val="decimal"/>
      <w:lvlText w:val="%1."/>
      <w:lvlJc w:val="left"/>
      <w:pPr>
        <w:ind w:left="720" w:hanging="360"/>
      </w:pPr>
      <w:rPr>
        <w:rFonts w:eastAsia="SimSu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4E19"/>
    <w:multiLevelType w:val="hybridMultilevel"/>
    <w:tmpl w:val="88BAD8E4"/>
    <w:lvl w:ilvl="0" w:tplc="647C4738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3F2362A1"/>
    <w:multiLevelType w:val="hybridMultilevel"/>
    <w:tmpl w:val="2BBE6C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27D064D"/>
    <w:multiLevelType w:val="hybridMultilevel"/>
    <w:tmpl w:val="A19E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7589C"/>
    <w:multiLevelType w:val="hybridMultilevel"/>
    <w:tmpl w:val="7FDEF07C"/>
    <w:lvl w:ilvl="0" w:tplc="C2D058AE">
      <w:start w:val="1"/>
      <w:numFmt w:val="decimal"/>
      <w:lvlText w:val="%1)"/>
      <w:lvlJc w:val="left"/>
      <w:pPr>
        <w:ind w:left="1155" w:hanging="375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74E53D05"/>
    <w:multiLevelType w:val="hybridMultilevel"/>
    <w:tmpl w:val="4E789FA6"/>
    <w:lvl w:ilvl="0" w:tplc="22CEC00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D4E60E3"/>
    <w:multiLevelType w:val="hybridMultilevel"/>
    <w:tmpl w:val="05F4AA80"/>
    <w:lvl w:ilvl="0" w:tplc="8508FD0A">
      <w:start w:val="1"/>
      <w:numFmt w:val="decimal"/>
      <w:lvlText w:val="%1."/>
      <w:lvlJc w:val="left"/>
      <w:pPr>
        <w:ind w:left="643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F5"/>
    <w:rsid w:val="0000564E"/>
    <w:rsid w:val="000C568F"/>
    <w:rsid w:val="001719D2"/>
    <w:rsid w:val="003C0737"/>
    <w:rsid w:val="005072FA"/>
    <w:rsid w:val="00625C26"/>
    <w:rsid w:val="006C33ED"/>
    <w:rsid w:val="0080274D"/>
    <w:rsid w:val="008750A7"/>
    <w:rsid w:val="00CD411D"/>
    <w:rsid w:val="00EA34F8"/>
    <w:rsid w:val="00F14BF5"/>
    <w:rsid w:val="00F3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7C873-D984-4497-A4DD-4C588CE4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2FA"/>
    <w:pPr>
      <w:ind w:left="720"/>
      <w:contextualSpacing/>
    </w:pPr>
  </w:style>
  <w:style w:type="paragraph" w:customStyle="1" w:styleId="Textbody">
    <w:name w:val="Text body"/>
    <w:basedOn w:val="Normalny"/>
    <w:rsid w:val="005072FA"/>
    <w:pPr>
      <w:suppressAutoHyphens/>
      <w:autoSpaceDN w:val="0"/>
      <w:spacing w:after="120" w:line="240" w:lineRule="auto"/>
    </w:pPr>
    <w:rPr>
      <w:rFonts w:ascii="Times New Roman" w:eastAsia="SimSun, 宋体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uiPriority w:val="22"/>
    <w:qFormat/>
    <w:rsid w:val="00507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Uczeń</cp:lastModifiedBy>
  <cp:revision>10</cp:revision>
  <dcterms:created xsi:type="dcterms:W3CDTF">2021-10-09T17:32:00Z</dcterms:created>
  <dcterms:modified xsi:type="dcterms:W3CDTF">2025-09-08T19:36:00Z</dcterms:modified>
</cp:coreProperties>
</file>